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E93259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proofErr w:type="gramStart"/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5F2ECB">
        <w:rPr>
          <w:b/>
          <w:caps/>
          <w:sz w:val="24"/>
        </w:rPr>
        <w:sym w:font="Times New Roman" w:char="0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E93259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5F2ECB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1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ноября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29</w:t>
            </w:r>
          </w:p>
        </w:tc>
      </w:tr>
      <w:tr w:rsidR="00D62BF0" w:rsidRPr="00D62BF0" w:rsidTr="00E93259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E93259">
        <w:trPr>
          <w:trHeight w:val="350"/>
        </w:trPr>
        <w:tc>
          <w:tcPr>
            <w:tcW w:w="3740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основных направлениях </w:t>
      </w:r>
      <w:proofErr w:type="gramStart"/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налоговой</w:t>
      </w:r>
      <w:proofErr w:type="gramEnd"/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бюджетной политики сельского поселения «Лойма»</w:t>
      </w:r>
    </w:p>
    <w:p w:rsidR="00D62BF0" w:rsidRPr="00D62BF0" w:rsidRDefault="00D2028A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</w:t>
      </w:r>
      <w:r w:rsidR="00D62BF0"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плановый период 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62BF0"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D62BF0" w:rsidRPr="00D6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62BF0" w:rsidRPr="00D62BF0" w:rsidRDefault="00D62BF0" w:rsidP="00D62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по формированию проекта бюджета сельского поселения «Лойма», руководствуясь статьёй 172 Бюджетного кодекса Российской Федерации, в соответствие с Положением о бюджетном процессе в сельско</w:t>
      </w:r>
      <w:r w:rsidR="0000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051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Решением Совета с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proofErr w:type="spellStart"/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28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 «Лойма»</w:t>
      </w: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Одобрить  основные  направления  налоговой  и  бюджетной  поли</w:t>
      </w:r>
      <w:r w:rsidR="0000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тики 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«Прилузский» Республики Коми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5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5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 w:rsidR="005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приложению.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обнародованию в  местах, установленных  постановлением  главы  сельского поселения «Лойма».</w:t>
      </w:r>
    </w:p>
    <w:p w:rsidR="00D62BF0" w:rsidRPr="00D62BF0" w:rsidRDefault="00D62BF0" w:rsidP="00D62BF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данного постановления возлагаю  на себя.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</w:t>
      </w:r>
      <w:proofErr w:type="spellStart"/>
      <w:r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И.Г.Куликова</w:t>
      </w:r>
      <w:proofErr w:type="spellEnd"/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51A2" w:rsidRDefault="000051A2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51A2" w:rsidRDefault="000051A2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3F8D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62BF0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0B3F8D">
        <w:rPr>
          <w:rFonts w:ascii="Times New Roman" w:eastAsia="Times New Roman" w:hAnsi="Times New Roman" w:cs="Times New Roman"/>
          <w:lang w:eastAsia="ru-RU"/>
        </w:rPr>
        <w:t>Одобрены</w:t>
      </w:r>
      <w:r w:rsidR="000B3F8D">
        <w:rPr>
          <w:rFonts w:ascii="Times New Roman" w:eastAsia="Times New Roman" w:hAnsi="Times New Roman" w:cs="Times New Roman"/>
          <w:lang w:eastAsia="ru-RU"/>
        </w:rPr>
        <w:br/>
      </w:r>
      <w:r w:rsidRPr="00D62BF0">
        <w:rPr>
          <w:rFonts w:ascii="Times New Roman" w:eastAsia="Times New Roman" w:hAnsi="Times New Roman" w:cs="Times New Roman"/>
          <w:lang w:eastAsia="ru-RU"/>
        </w:rPr>
        <w:t>п</w:t>
      </w:r>
      <w:r w:rsidR="000B3F8D">
        <w:rPr>
          <w:rFonts w:ascii="Times New Roman" w:eastAsia="Times New Roman" w:hAnsi="Times New Roman" w:cs="Times New Roman"/>
          <w:lang w:eastAsia="ru-RU"/>
        </w:rPr>
        <w:t xml:space="preserve">остановлением администрации </w:t>
      </w:r>
      <w:r w:rsidRPr="00D62BF0">
        <w:rPr>
          <w:rFonts w:ascii="Times New Roman" w:eastAsia="Times New Roman" w:hAnsi="Times New Roman" w:cs="Times New Roman"/>
          <w:lang w:eastAsia="ru-RU"/>
        </w:rPr>
        <w:t>сельского поселения «Лойма»</w:t>
      </w:r>
      <w:r w:rsidR="000B3F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2BF0" w:rsidRPr="00D62BF0" w:rsidRDefault="000B3F8D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района «Прилузский» Республики Коми</w:t>
      </w:r>
    </w:p>
    <w:p w:rsidR="00D62BF0" w:rsidRPr="00D62BF0" w:rsidRDefault="005F2ECB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10</w:t>
      </w:r>
      <w:r w:rsidR="00D62BF0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3  г. № 29</w:t>
      </w:r>
    </w:p>
    <w:p w:rsidR="00D62BF0" w:rsidRPr="00D62BF0" w:rsidRDefault="00D62BF0" w:rsidP="00D6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F0"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и налоговой политики</w:t>
      </w:r>
    </w:p>
    <w:p w:rsidR="00D62BF0" w:rsidRPr="00D62BF0" w:rsidRDefault="00D62BF0" w:rsidP="000B3F8D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F0">
        <w:rPr>
          <w:rFonts w:ascii="Times New Roman" w:hAnsi="Times New Roman" w:cs="Times New Roman"/>
          <w:b/>
          <w:sz w:val="24"/>
          <w:szCs w:val="24"/>
        </w:rPr>
        <w:t>сельского поселения «Лойма»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«Прилузский» </w:t>
      </w:r>
      <w:r w:rsidRPr="00D62BF0">
        <w:rPr>
          <w:rFonts w:ascii="Times New Roman" w:hAnsi="Times New Roman" w:cs="Times New Roman"/>
          <w:b/>
          <w:sz w:val="24"/>
          <w:szCs w:val="24"/>
        </w:rPr>
        <w:t>Республики Коми на</w:t>
      </w:r>
      <w:r w:rsidR="005F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и пла</w:t>
      </w:r>
      <w:r w:rsidR="005F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период 2025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F2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62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p w:rsidR="000B3F8D" w:rsidRDefault="000B3F8D" w:rsidP="000B3F8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B3F8D" w:rsidRPr="000B3F8D" w:rsidRDefault="000B3F8D" w:rsidP="000B3F8D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AD0" w:rsidRPr="000B3F8D" w:rsidRDefault="00D62BF0" w:rsidP="000B3F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бюджетной и налоговой поли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сельского поселения на 2024 год и плановый период 2025</w:t>
      </w: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разработаны в соответствии с требованиями Бюджетного Кодекса Российской Федерации и Положением о бюджетном проц</w:t>
      </w:r>
      <w:r w:rsidR="000B3F8D"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 в сельском поселении Лойма и </w:t>
      </w:r>
      <w:r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0B3F8D">
        <w:rPr>
          <w:rFonts w:ascii="Times New Roman" w:hAnsi="Times New Roman" w:cs="Times New Roman"/>
          <w:sz w:val="24"/>
          <w:szCs w:val="24"/>
        </w:rPr>
        <w:t>с учетом итогов реализации бюд</w:t>
      </w:r>
      <w:r w:rsidR="005F2ECB">
        <w:rPr>
          <w:rFonts w:ascii="Times New Roman" w:hAnsi="Times New Roman" w:cs="Times New Roman"/>
          <w:sz w:val="24"/>
          <w:szCs w:val="24"/>
        </w:rPr>
        <w:t>жетной политики в период до 2023</w:t>
      </w:r>
      <w:r w:rsidR="000B3F8D" w:rsidRPr="000B3F8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B3F8D" w:rsidRP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 политики сельского поселения являются основой для формирования бюджета на 202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сельского поселения на 202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2E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  <w:r w:rsidR="000B3F8D" w:rsidRPr="00D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в соответствии со стратегией социально-экономического развития поселения в условиях ограниченности бюджетных ресурсов.</w:t>
      </w:r>
    </w:p>
    <w:p w:rsidR="006C2AD0" w:rsidRPr="000B3F8D" w:rsidRDefault="000B3F8D" w:rsidP="007D4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2AD0" w:rsidRPr="000B3F8D">
        <w:rPr>
          <w:rFonts w:ascii="Times New Roman" w:hAnsi="Times New Roman" w:cs="Times New Roman"/>
          <w:sz w:val="24"/>
          <w:szCs w:val="24"/>
        </w:rPr>
        <w:t>2. Основные задачи бюджетной и налоговой политики</w:t>
      </w:r>
      <w:r w:rsidR="005916BE" w:rsidRPr="000B3F8D">
        <w:rPr>
          <w:rFonts w:ascii="Times New Roman" w:hAnsi="Times New Roman" w:cs="Times New Roman"/>
          <w:sz w:val="24"/>
          <w:szCs w:val="24"/>
        </w:rPr>
        <w:t xml:space="preserve"> </w:t>
      </w:r>
      <w:r w:rsidR="006C2AD0" w:rsidRPr="000B3F8D">
        <w:rPr>
          <w:rFonts w:ascii="Times New Roman" w:hAnsi="Times New Roman" w:cs="Times New Roman"/>
          <w:sz w:val="24"/>
          <w:szCs w:val="24"/>
        </w:rPr>
        <w:t>на 202</w:t>
      </w:r>
      <w:r w:rsidR="005F2ECB">
        <w:rPr>
          <w:rFonts w:ascii="Times New Roman" w:hAnsi="Times New Roman" w:cs="Times New Roman"/>
          <w:sz w:val="24"/>
          <w:szCs w:val="24"/>
        </w:rPr>
        <w:t>4</w:t>
      </w:r>
      <w:r w:rsidR="006C2AD0" w:rsidRPr="000B3F8D">
        <w:rPr>
          <w:rFonts w:ascii="Times New Roman" w:hAnsi="Times New Roman" w:cs="Times New Roman"/>
          <w:sz w:val="24"/>
          <w:szCs w:val="24"/>
        </w:rPr>
        <w:t>-202</w:t>
      </w:r>
      <w:r w:rsidR="005F2ECB">
        <w:rPr>
          <w:rFonts w:ascii="Times New Roman" w:hAnsi="Times New Roman" w:cs="Times New Roman"/>
          <w:sz w:val="24"/>
          <w:szCs w:val="24"/>
        </w:rPr>
        <w:t>6</w:t>
      </w:r>
      <w:r w:rsidR="006C2AD0" w:rsidRPr="000B3F8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C2AD0" w:rsidRPr="000B3F8D" w:rsidRDefault="006C2AD0" w:rsidP="006C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Основной задачей бюджетной и налоговой пол</w:t>
      </w:r>
      <w:r w:rsidR="005F2ECB">
        <w:rPr>
          <w:rFonts w:ascii="Times New Roman" w:hAnsi="Times New Roman" w:cs="Times New Roman"/>
          <w:sz w:val="24"/>
          <w:szCs w:val="24"/>
        </w:rPr>
        <w:t>итики сельского поселения на 2024</w:t>
      </w:r>
      <w:r w:rsidRPr="000B3F8D">
        <w:rPr>
          <w:rFonts w:ascii="Times New Roman" w:hAnsi="Times New Roman" w:cs="Times New Roman"/>
          <w:sz w:val="24"/>
          <w:szCs w:val="24"/>
        </w:rPr>
        <w:t xml:space="preserve"> год и среднесрочную перспективу является качественное стратегическое управление экономикой и общественными финансами. Для этого следует исходить из следующих целей: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Бюджетная политика поселения должна стать более эффективным инструментом реализации со</w:t>
      </w:r>
      <w:r w:rsidR="005916BE" w:rsidRPr="000B3F8D">
        <w:rPr>
          <w:rFonts w:ascii="Times New Roman" w:hAnsi="Times New Roman" w:cs="Times New Roman"/>
          <w:sz w:val="24"/>
          <w:szCs w:val="24"/>
        </w:rPr>
        <w:t>циально-экономической политики;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Бюджет должен исполняться </w:t>
      </w:r>
      <w:r w:rsidR="005916BE" w:rsidRPr="000B3F8D">
        <w:rPr>
          <w:rFonts w:ascii="Times New Roman" w:hAnsi="Times New Roman" w:cs="Times New Roman"/>
          <w:sz w:val="24"/>
          <w:szCs w:val="24"/>
        </w:rPr>
        <w:t>на базе муниципальных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качества предоставляемых населению муниципальных услуг;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макроэкономической стабильности и бюджетной устойчивости;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предпринимательской активности;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Обеспечить прозрачность и открытость бюджета и бю</w:t>
      </w:r>
      <w:r w:rsidR="005916BE" w:rsidRPr="000B3F8D">
        <w:rPr>
          <w:rFonts w:ascii="Times New Roman" w:hAnsi="Times New Roman" w:cs="Times New Roman"/>
          <w:sz w:val="24"/>
          <w:szCs w:val="24"/>
        </w:rPr>
        <w:t>джетного процесса для общества;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Эффективное использование налогового потенциала сельского поселения, создание условий для развития экономики, осуществление поддержки центров генерации дополнительных налоговых платежей (</w:t>
      </w:r>
      <w:r w:rsidR="005916BE" w:rsidRPr="000B3F8D">
        <w:rPr>
          <w:rFonts w:ascii="Times New Roman" w:hAnsi="Times New Roman" w:cs="Times New Roman"/>
          <w:sz w:val="24"/>
          <w:szCs w:val="24"/>
        </w:rPr>
        <w:t>индивидуальных предпринимателей и фермерских хозяйств</w:t>
      </w:r>
      <w:r w:rsidRPr="000B3F8D">
        <w:rPr>
          <w:rFonts w:ascii="Times New Roman" w:hAnsi="Times New Roman" w:cs="Times New Roman"/>
          <w:sz w:val="24"/>
          <w:szCs w:val="24"/>
        </w:rPr>
        <w:t>);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lastRenderedPageBreak/>
        <w:t>- Сохранение и развитие необходимой социальной инфраструктуры, направление бюджетных инвестиций на строительство объектов муниципальной собственности;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Оптимизация и повышение эффективности бюджетных расходов на основе принципов бюджетирования, </w:t>
      </w:r>
      <w:proofErr w:type="gramStart"/>
      <w:r w:rsidRPr="000B3F8D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0B3F8D">
        <w:rPr>
          <w:rFonts w:ascii="Times New Roman" w:hAnsi="Times New Roman" w:cs="Times New Roman"/>
          <w:sz w:val="24"/>
          <w:szCs w:val="24"/>
        </w:rPr>
        <w:t xml:space="preserve"> на результат.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2.1. Основные направления</w:t>
      </w:r>
      <w:r w:rsidR="00ED405D" w:rsidRPr="000B3F8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</w:t>
      </w:r>
      <w:r w:rsidR="005F2ECB">
        <w:rPr>
          <w:rFonts w:ascii="Times New Roman" w:hAnsi="Times New Roman" w:cs="Times New Roman"/>
          <w:sz w:val="24"/>
          <w:szCs w:val="24"/>
        </w:rPr>
        <w:t>на 2024</w:t>
      </w:r>
      <w:r w:rsidRPr="000B3F8D">
        <w:rPr>
          <w:rFonts w:ascii="Times New Roman" w:hAnsi="Times New Roman" w:cs="Times New Roman"/>
          <w:sz w:val="24"/>
          <w:szCs w:val="24"/>
        </w:rPr>
        <w:t>-202</w:t>
      </w:r>
      <w:r w:rsidR="005F2ECB">
        <w:rPr>
          <w:rFonts w:ascii="Times New Roman" w:hAnsi="Times New Roman" w:cs="Times New Roman"/>
          <w:sz w:val="24"/>
          <w:szCs w:val="24"/>
        </w:rPr>
        <w:t>6</w:t>
      </w:r>
      <w:r w:rsidRPr="000B3F8D">
        <w:rPr>
          <w:rFonts w:ascii="Times New Roman" w:hAnsi="Times New Roman" w:cs="Times New Roman"/>
          <w:sz w:val="24"/>
          <w:szCs w:val="24"/>
        </w:rPr>
        <w:t xml:space="preserve"> годы в об</w:t>
      </w:r>
      <w:r w:rsidR="00ED405D" w:rsidRPr="000B3F8D">
        <w:rPr>
          <w:rFonts w:ascii="Times New Roman" w:hAnsi="Times New Roman" w:cs="Times New Roman"/>
          <w:sz w:val="24"/>
          <w:szCs w:val="24"/>
        </w:rPr>
        <w:t xml:space="preserve">ласти формирования и исполнения </w:t>
      </w:r>
      <w:r w:rsidRPr="000B3F8D">
        <w:rPr>
          <w:rFonts w:ascii="Times New Roman" w:hAnsi="Times New Roman" w:cs="Times New Roman"/>
          <w:sz w:val="24"/>
          <w:szCs w:val="24"/>
        </w:rPr>
        <w:t>доходов бюджета поселения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2.1.1. Разработка проекта доходной части бюджета поселения на очередной финансовый </w:t>
      </w:r>
      <w:proofErr w:type="gramStart"/>
      <w:r w:rsidRPr="000B3F8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B3F8D">
        <w:rPr>
          <w:rFonts w:ascii="Times New Roman" w:hAnsi="Times New Roman" w:cs="Times New Roman"/>
          <w:sz w:val="24"/>
          <w:szCs w:val="24"/>
        </w:rPr>
        <w:t xml:space="preserve"> и плановый период осуществляется в соответствии с бюджетным и налоговым законодательством Российской Федерации, </w:t>
      </w:r>
      <w:r w:rsidR="00ED405D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Pr="000B3F8D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органов местного самоуправления по вопросам установления местных налогов и сборов.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0B3F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F8D">
        <w:rPr>
          <w:rFonts w:ascii="Times New Roman" w:hAnsi="Times New Roman" w:cs="Times New Roman"/>
          <w:sz w:val="24"/>
          <w:szCs w:val="24"/>
        </w:rPr>
        <w:t xml:space="preserve"> рыночным;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 Основные направлен</w:t>
      </w:r>
      <w:r w:rsidR="007D4560" w:rsidRPr="000B3F8D">
        <w:rPr>
          <w:rFonts w:ascii="Times New Roman" w:hAnsi="Times New Roman" w:cs="Times New Roman"/>
          <w:sz w:val="24"/>
          <w:szCs w:val="24"/>
        </w:rPr>
        <w:t xml:space="preserve">ия бюджетной политики в области </w:t>
      </w:r>
      <w:r w:rsidRPr="000B3F8D">
        <w:rPr>
          <w:rFonts w:ascii="Times New Roman" w:hAnsi="Times New Roman" w:cs="Times New Roman"/>
          <w:sz w:val="24"/>
          <w:szCs w:val="24"/>
        </w:rPr>
        <w:t>формирования и исполнения расходов местного бюджета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2.2.2. Приоритетными направлениями расходов при формирова</w:t>
      </w:r>
      <w:r w:rsidR="005F2ECB">
        <w:rPr>
          <w:rFonts w:ascii="Times New Roman" w:hAnsi="Times New Roman" w:cs="Times New Roman"/>
          <w:sz w:val="24"/>
          <w:szCs w:val="24"/>
        </w:rPr>
        <w:t>нии и исполнении бюджета на 2024</w:t>
      </w:r>
      <w:r w:rsidRPr="000B3F8D">
        <w:rPr>
          <w:rFonts w:ascii="Times New Roman" w:hAnsi="Times New Roman" w:cs="Times New Roman"/>
          <w:sz w:val="24"/>
          <w:szCs w:val="24"/>
        </w:rPr>
        <w:t xml:space="preserve"> год и плановый период определены расходы, обеспечивающие социальную стабильность в поселении: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расходы на оплату труда и начисления на нее;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расходы на оплату коммунальных услуг;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- </w:t>
      </w:r>
      <w:r w:rsidR="007D4560" w:rsidRPr="000B3F8D">
        <w:rPr>
          <w:rFonts w:ascii="Times New Roman" w:hAnsi="Times New Roman" w:cs="Times New Roman"/>
          <w:sz w:val="24"/>
          <w:szCs w:val="24"/>
        </w:rPr>
        <w:t>содержание дорог местного значения и улично-дорожной сети</w:t>
      </w:r>
      <w:r w:rsidRPr="000B3F8D">
        <w:rPr>
          <w:rFonts w:ascii="Times New Roman" w:hAnsi="Times New Roman" w:cs="Times New Roman"/>
          <w:sz w:val="24"/>
          <w:szCs w:val="24"/>
        </w:rPr>
        <w:t>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благоустройство территории сельского поселения.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lastRenderedPageBreak/>
        <w:t>- недопущения образования несанкционированной кредиторской и дебиторской задолженности;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2.2.4. Основными направлениями бюджетной политики в сфере управления расходами должны стать: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Сохранение преемственности приоритетов, определенных в предыдущие годы;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Обеспечение последователь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ной экономии бюджетных средств, </w:t>
      </w:r>
      <w:r w:rsidRPr="000B3F8D">
        <w:rPr>
          <w:rFonts w:ascii="Times New Roman" w:hAnsi="Times New Roman" w:cs="Times New Roman"/>
          <w:sz w:val="24"/>
          <w:szCs w:val="24"/>
        </w:rPr>
        <w:t>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Сохранение подходов к формир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ованию расходов на оплату труда </w:t>
      </w:r>
      <w:r w:rsidRPr="000B3F8D">
        <w:rPr>
          <w:rFonts w:ascii="Times New Roman" w:hAnsi="Times New Roman" w:cs="Times New Roman"/>
          <w:sz w:val="24"/>
          <w:szCs w:val="24"/>
        </w:rPr>
        <w:t>муниципальных служащих с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учетом требований действующего </w:t>
      </w:r>
      <w:r w:rsidRPr="000B3F8D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Формирование реальных сроков реализации и объемов финансового о</w:t>
      </w:r>
      <w:r w:rsidR="008D69B0" w:rsidRPr="000B3F8D">
        <w:rPr>
          <w:rFonts w:ascii="Times New Roman" w:hAnsi="Times New Roman" w:cs="Times New Roman"/>
          <w:sz w:val="24"/>
          <w:szCs w:val="24"/>
        </w:rPr>
        <w:t>беспечения заявленных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 Основные принципы формирования местного бюджета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2.3.1. Форми</w:t>
      </w:r>
      <w:r w:rsidR="005F2ECB">
        <w:rPr>
          <w:rFonts w:ascii="Times New Roman" w:hAnsi="Times New Roman" w:cs="Times New Roman"/>
          <w:sz w:val="24"/>
          <w:szCs w:val="24"/>
        </w:rPr>
        <w:t>рование местного бюджета на 2024</w:t>
      </w:r>
      <w:r w:rsidRPr="000B3F8D">
        <w:rPr>
          <w:rFonts w:ascii="Times New Roman" w:hAnsi="Times New Roman" w:cs="Times New Roman"/>
          <w:sz w:val="24"/>
          <w:szCs w:val="24"/>
        </w:rPr>
        <w:t xml:space="preserve"> год и плановый период осуществляется строго в соответствии с требованиями Бюджетног</w:t>
      </w:r>
      <w:r w:rsidR="006D2F24" w:rsidRPr="000B3F8D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2.3.2. Местный бюджет формируется на основе прогноза социально-экономического развития сельского поселения</w:t>
      </w:r>
      <w:r w:rsidR="008D69B0" w:rsidRPr="000B3F8D">
        <w:rPr>
          <w:rFonts w:ascii="Times New Roman" w:hAnsi="Times New Roman" w:cs="Times New Roman"/>
          <w:sz w:val="24"/>
          <w:szCs w:val="24"/>
        </w:rPr>
        <w:t xml:space="preserve"> «Лойма» муниципального района «Прилузский»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</w:t>
      </w:r>
      <w:r w:rsidR="008D69B0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="005F2ECB">
        <w:rPr>
          <w:rFonts w:ascii="Times New Roman" w:hAnsi="Times New Roman" w:cs="Times New Roman"/>
          <w:sz w:val="24"/>
          <w:szCs w:val="24"/>
        </w:rPr>
        <w:t xml:space="preserve"> на 2024</w:t>
      </w:r>
      <w:r w:rsidR="006D2F24" w:rsidRPr="000B3F8D">
        <w:rPr>
          <w:rFonts w:ascii="Times New Roman" w:hAnsi="Times New Roman" w:cs="Times New Roman"/>
          <w:sz w:val="24"/>
          <w:szCs w:val="24"/>
        </w:rPr>
        <w:t>-202</w:t>
      </w:r>
      <w:r w:rsidR="005F2ECB">
        <w:rPr>
          <w:rFonts w:ascii="Times New Roman" w:hAnsi="Times New Roman" w:cs="Times New Roman"/>
          <w:sz w:val="24"/>
          <w:szCs w:val="24"/>
        </w:rPr>
        <w:t>6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</w:t>
      </w:r>
      <w:r w:rsidR="008D69B0" w:rsidRPr="000B3F8D">
        <w:rPr>
          <w:rFonts w:ascii="Times New Roman" w:hAnsi="Times New Roman" w:cs="Times New Roman"/>
          <w:sz w:val="24"/>
          <w:szCs w:val="24"/>
        </w:rPr>
        <w:t>Республики Коми</w:t>
      </w:r>
      <w:r w:rsidRPr="000B3F8D">
        <w:rPr>
          <w:rFonts w:ascii="Times New Roman" w:hAnsi="Times New Roman" w:cs="Times New Roman"/>
          <w:sz w:val="24"/>
          <w:szCs w:val="24"/>
        </w:rPr>
        <w:t xml:space="preserve">. В доходную часть бюджета также включаются доходы, полученные </w:t>
      </w:r>
      <w:r w:rsidR="008D69B0" w:rsidRPr="000B3F8D">
        <w:rPr>
          <w:rFonts w:ascii="Times New Roman" w:hAnsi="Times New Roman" w:cs="Times New Roman"/>
          <w:sz w:val="24"/>
          <w:szCs w:val="24"/>
        </w:rPr>
        <w:t>от реализации иного имущества, находящегося в собственности поселений, прочих доходов от компенсации  затрат бюджетов.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2.3.4. Формирование расходов ме</w:t>
      </w:r>
      <w:r w:rsidR="008D69B0" w:rsidRPr="000B3F8D">
        <w:rPr>
          <w:rFonts w:ascii="Times New Roman" w:hAnsi="Times New Roman" w:cs="Times New Roman"/>
          <w:sz w:val="24"/>
          <w:szCs w:val="24"/>
        </w:rPr>
        <w:t xml:space="preserve">стного бюджета осуществляется в </w:t>
      </w:r>
      <w:r w:rsidRPr="000B3F8D">
        <w:rPr>
          <w:rFonts w:ascii="Times New Roman" w:hAnsi="Times New Roman" w:cs="Times New Roman"/>
          <w:sz w:val="24"/>
          <w:szCs w:val="24"/>
        </w:rPr>
        <w:t>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3. Приоритетные напр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авления инвестиционной политики </w:t>
      </w:r>
      <w:r w:rsidRPr="000B3F8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ремонт объектов улично-дорожной сети поселения;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благоустройств</w:t>
      </w:r>
      <w:r w:rsidR="006D2F24" w:rsidRPr="000B3F8D">
        <w:rPr>
          <w:rFonts w:ascii="Times New Roman" w:hAnsi="Times New Roman" w:cs="Times New Roman"/>
          <w:sz w:val="24"/>
          <w:szCs w:val="24"/>
        </w:rPr>
        <w:t>о территории села.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4. Дефицит бюджета и источники его покрытия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4.1. Источниками финансирования дефицита бюджета могут быть: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- изменение остатков средств на едином счете бюджета поселения.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5. Заключительное положение</w:t>
      </w:r>
    </w:p>
    <w:p w:rsidR="006D2F24" w:rsidRPr="000B3F8D" w:rsidRDefault="006D2F24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бюджетными средствами сельского поселения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«Лойма»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округа.</w:t>
      </w:r>
    </w:p>
    <w:p w:rsidR="006C2AD0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6C2AD0" w:rsidP="000B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8D">
        <w:rPr>
          <w:rFonts w:ascii="Times New Roman" w:hAnsi="Times New Roman" w:cs="Times New Roman"/>
          <w:sz w:val="24"/>
          <w:szCs w:val="24"/>
        </w:rPr>
        <w:t xml:space="preserve">Обеспечение полного и доступного информирования населения сельского поселения </w:t>
      </w:r>
      <w:r w:rsidR="006D2F24" w:rsidRPr="000B3F8D">
        <w:rPr>
          <w:rFonts w:ascii="Times New Roman" w:hAnsi="Times New Roman" w:cs="Times New Roman"/>
          <w:sz w:val="24"/>
          <w:szCs w:val="24"/>
        </w:rPr>
        <w:t xml:space="preserve"> «Лойма»</w:t>
      </w:r>
      <w:r w:rsidRPr="000B3F8D">
        <w:rPr>
          <w:rFonts w:ascii="Times New Roman" w:hAnsi="Times New Roman" w:cs="Times New Roman"/>
          <w:sz w:val="24"/>
          <w:szCs w:val="24"/>
        </w:rPr>
        <w:t xml:space="preserve"> о бюджете сельского поселения и отчетах о его исполнении, повышения открытости и прозрачности информации об управлении бюджетными средствами сельского поселения должно найти на официальном сайте Администрации сельского поселения </w:t>
      </w:r>
      <w:r w:rsidR="006D2F24" w:rsidRPr="000B3F8D">
        <w:rPr>
          <w:rFonts w:ascii="Times New Roman" w:hAnsi="Times New Roman" w:cs="Times New Roman"/>
          <w:sz w:val="24"/>
          <w:szCs w:val="24"/>
        </w:rPr>
        <w:t>«Лойма» муниципального района «Прилузский» Республики Коми.</w:t>
      </w:r>
    </w:p>
    <w:p w:rsidR="000B3F8D" w:rsidRPr="000B3F8D" w:rsidRDefault="000B3F8D" w:rsidP="000B3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0B3F8D" w:rsidRP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sectPr w:rsidR="000B3F8D" w:rsidRPr="000B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051A2"/>
    <w:rsid w:val="000B3F8D"/>
    <w:rsid w:val="005916BE"/>
    <w:rsid w:val="005F2ECB"/>
    <w:rsid w:val="006C2AD0"/>
    <w:rsid w:val="006C4C33"/>
    <w:rsid w:val="006D2F24"/>
    <w:rsid w:val="007D4560"/>
    <w:rsid w:val="0081439E"/>
    <w:rsid w:val="008D69B0"/>
    <w:rsid w:val="009620A2"/>
    <w:rsid w:val="00B10897"/>
    <w:rsid w:val="00BA7C87"/>
    <w:rsid w:val="00D2028A"/>
    <w:rsid w:val="00D62BF0"/>
    <w:rsid w:val="00DD45E4"/>
    <w:rsid w:val="00E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3</cp:revision>
  <cp:lastPrinted>2023-11-14T12:24:00Z</cp:lastPrinted>
  <dcterms:created xsi:type="dcterms:W3CDTF">2023-11-10T10:39:00Z</dcterms:created>
  <dcterms:modified xsi:type="dcterms:W3CDTF">2023-11-14T12:24:00Z</dcterms:modified>
</cp:coreProperties>
</file>